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0"/>
          <w:numId w:val="2"/>
        </w:numPr>
        <w:spacing w:line="360" w:lineRule="auto"/>
        <w:jc w:val="center"/>
        <w:rPr>
          <w:rFonts w:hint="eastAsia" w:ascii="宋体" w:hAnsi="宋体" w:eastAsia="宋体"/>
          <w:b/>
          <w:bCs/>
          <w:sz w:val="32"/>
          <w:szCs w:val="30"/>
        </w:rPr>
      </w:pPr>
      <w:bookmarkStart w:id="0" w:name="_Toc482192915"/>
      <w:bookmarkStart w:id="1" w:name="_Toc30872"/>
      <w:bookmarkStart w:id="2" w:name="_Toc13520"/>
      <w:bookmarkStart w:id="3" w:name="_Toc272141469"/>
      <w:r>
        <w:rPr>
          <w:rFonts w:hint="eastAsia" w:ascii="宋体" w:hAnsi="宋体" w:eastAsia="宋体"/>
          <w:b/>
          <w:bCs/>
          <w:sz w:val="32"/>
          <w:szCs w:val="30"/>
        </w:rPr>
        <w:t xml:space="preserve"> 采购内容及相关要求</w:t>
      </w:r>
      <w:bookmarkEnd w:id="0"/>
      <w:bookmarkEnd w:id="1"/>
      <w:bookmarkEnd w:id="2"/>
    </w:p>
    <w:p>
      <w:pPr>
        <w:pStyle w:val="2"/>
        <w:rPr>
          <w:rFonts w:hint="eastAsia" w:ascii="新宋体" w:hAnsi="新宋体" w:eastAsia="新宋体" w:cs="新宋体"/>
          <w:b w:val="0"/>
          <w:bCs/>
          <w:color w:val="FF0000"/>
          <w:sz w:val="28"/>
          <w:szCs w:val="28"/>
        </w:rPr>
      </w:pPr>
      <w:bookmarkStart w:id="4" w:name="_Toc32285_WPSOffice_Level1"/>
      <w:r>
        <w:rPr>
          <w:rFonts w:hint="eastAsia" w:ascii="新宋体" w:hAnsi="新宋体" w:eastAsia="新宋体" w:cs="新宋体"/>
          <w:b w:val="0"/>
          <w:bCs/>
          <w:color w:val="FF0000"/>
          <w:sz w:val="28"/>
          <w:szCs w:val="28"/>
        </w:rPr>
        <w:t>（本项目采购清单及技术要求、报价及其他相关要求及商务要求为不允许负偏离的实质性要求和条件）</w:t>
      </w:r>
    </w:p>
    <w:p>
      <w:pPr>
        <w:numPr>
          <w:ilvl w:val="0"/>
          <w:numId w:val="3"/>
        </w:numPr>
        <w:spacing w:line="360" w:lineRule="auto"/>
        <w:jc w:val="center"/>
        <w:rPr>
          <w:rFonts w:hint="eastAsia" w:ascii="宋体" w:hAnsi="宋体"/>
          <w:b/>
          <w:sz w:val="30"/>
          <w:szCs w:val="30"/>
        </w:rPr>
      </w:pPr>
      <w:r>
        <w:rPr>
          <w:rFonts w:hint="eastAsia" w:ascii="宋体" w:hAnsi="宋体"/>
          <w:b/>
          <w:sz w:val="30"/>
          <w:szCs w:val="30"/>
        </w:rPr>
        <w:t>采购清单</w:t>
      </w:r>
      <w:bookmarkEnd w:id="4"/>
    </w:p>
    <w:tbl>
      <w:tblPr>
        <w:tblStyle w:val="4"/>
        <w:tblW w:w="0" w:type="auto"/>
        <w:jc w:val="center"/>
        <w:tblLayout w:type="fixed"/>
        <w:tblCellMar>
          <w:top w:w="0" w:type="dxa"/>
          <w:left w:w="108" w:type="dxa"/>
          <w:bottom w:w="0" w:type="dxa"/>
          <w:right w:w="108" w:type="dxa"/>
        </w:tblCellMar>
      </w:tblPr>
      <w:tblGrid>
        <w:gridCol w:w="934"/>
        <w:gridCol w:w="6075"/>
        <w:gridCol w:w="2089"/>
      </w:tblGrid>
      <w:tr>
        <w:tblPrEx>
          <w:tblCellMar>
            <w:top w:w="0" w:type="dxa"/>
            <w:left w:w="108" w:type="dxa"/>
            <w:bottom w:w="0" w:type="dxa"/>
            <w:right w:w="108" w:type="dxa"/>
          </w:tblCellMar>
        </w:tblPrEx>
        <w:trPr>
          <w:trHeight w:val="568"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宋体" w:hAnsi="宋体" w:eastAsia="宋体" w:cs="宋体"/>
                <w:b/>
                <w:sz w:val="28"/>
                <w:szCs w:val="28"/>
              </w:rPr>
            </w:pPr>
            <w:r>
              <w:rPr>
                <w:rFonts w:hint="eastAsia" w:ascii="宋体" w:hAnsi="宋体" w:eastAsia="宋体" w:cs="宋体"/>
                <w:b/>
                <w:sz w:val="28"/>
                <w:szCs w:val="28"/>
              </w:rPr>
              <w:t>序号</w:t>
            </w:r>
          </w:p>
        </w:tc>
        <w:tc>
          <w:tcPr>
            <w:tcW w:w="6075" w:type="dxa"/>
            <w:tcBorders>
              <w:top w:val="single" w:color="auto" w:sz="4" w:space="0"/>
              <w:left w:val="nil"/>
              <w:bottom w:val="single" w:color="auto" w:sz="4" w:space="0"/>
              <w:right w:val="single" w:color="auto" w:sz="4" w:space="0"/>
            </w:tcBorders>
            <w:noWrap w:val="0"/>
            <w:vAlign w:val="center"/>
          </w:tcPr>
          <w:p>
            <w:pPr>
              <w:spacing w:line="276" w:lineRule="auto"/>
              <w:jc w:val="center"/>
              <w:rPr>
                <w:rFonts w:hint="eastAsia" w:ascii="宋体" w:hAnsi="宋体" w:eastAsia="宋体" w:cs="宋体"/>
                <w:b/>
                <w:sz w:val="28"/>
                <w:szCs w:val="28"/>
              </w:rPr>
            </w:pPr>
            <w:r>
              <w:rPr>
                <w:rFonts w:hint="eastAsia" w:ascii="宋体" w:hAnsi="宋体" w:eastAsia="宋体" w:cs="宋体"/>
                <w:b/>
                <w:sz w:val="28"/>
                <w:szCs w:val="28"/>
              </w:rPr>
              <w:t>名称</w:t>
            </w:r>
          </w:p>
        </w:tc>
        <w:tc>
          <w:tcPr>
            <w:tcW w:w="2089" w:type="dxa"/>
            <w:tcBorders>
              <w:top w:val="single" w:color="auto" w:sz="4" w:space="0"/>
              <w:left w:val="nil"/>
              <w:bottom w:val="single" w:color="auto" w:sz="4" w:space="0"/>
              <w:right w:val="single" w:color="auto" w:sz="4" w:space="0"/>
            </w:tcBorders>
            <w:noWrap w:val="0"/>
            <w:vAlign w:val="center"/>
          </w:tcPr>
          <w:p>
            <w:pPr>
              <w:spacing w:line="276" w:lineRule="auto"/>
              <w:jc w:val="center"/>
              <w:rPr>
                <w:rFonts w:hint="eastAsia" w:ascii="宋体" w:hAnsi="宋体" w:eastAsia="宋体" w:cs="宋体"/>
                <w:b/>
                <w:sz w:val="28"/>
                <w:szCs w:val="28"/>
                <w:lang w:val="zh-CN"/>
              </w:rPr>
            </w:pPr>
            <w:r>
              <w:rPr>
                <w:rFonts w:hint="eastAsia" w:ascii="宋体" w:hAnsi="宋体" w:eastAsia="宋体" w:cs="宋体"/>
                <w:b/>
                <w:bCs/>
                <w:sz w:val="28"/>
                <w:szCs w:val="28"/>
              </w:rPr>
              <w:t>预算（元）</w:t>
            </w:r>
          </w:p>
        </w:tc>
      </w:tr>
      <w:tr>
        <w:tblPrEx>
          <w:tblCellMar>
            <w:top w:w="0" w:type="dxa"/>
            <w:left w:w="108" w:type="dxa"/>
            <w:bottom w:w="0" w:type="dxa"/>
            <w:right w:w="108" w:type="dxa"/>
          </w:tblCellMar>
        </w:tblPrEx>
        <w:trPr>
          <w:trHeight w:val="766"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宋体" w:hAnsi="宋体" w:eastAsia="宋体" w:cs="宋体"/>
                <w:b/>
                <w:sz w:val="28"/>
                <w:szCs w:val="28"/>
              </w:rPr>
            </w:pPr>
            <w:r>
              <w:rPr>
                <w:rFonts w:hint="eastAsia" w:ascii="宋体" w:hAnsi="宋体" w:eastAsia="宋体" w:cs="宋体"/>
                <w:sz w:val="28"/>
                <w:szCs w:val="28"/>
                <w:lang w:val="zh-CN"/>
              </w:rPr>
              <w:t>1</w:t>
            </w:r>
          </w:p>
        </w:tc>
        <w:tc>
          <w:tcPr>
            <w:tcW w:w="6075" w:type="dxa"/>
            <w:tcBorders>
              <w:top w:val="single" w:color="auto" w:sz="4" w:space="0"/>
              <w:left w:val="nil"/>
              <w:bottom w:val="single" w:color="auto" w:sz="4" w:space="0"/>
              <w:right w:val="single" w:color="auto" w:sz="4" w:space="0"/>
            </w:tcBorders>
            <w:noWrap w:val="0"/>
            <w:vAlign w:val="center"/>
          </w:tcPr>
          <w:p>
            <w:pPr>
              <w:spacing w:line="276" w:lineRule="auto"/>
              <w:jc w:val="center"/>
              <w:rPr>
                <w:rFonts w:hint="eastAsia" w:ascii="宋体" w:hAnsi="宋体" w:eastAsia="宋体" w:cs="宋体"/>
                <w:b/>
                <w:sz w:val="28"/>
                <w:szCs w:val="28"/>
              </w:rPr>
            </w:pPr>
            <w:r>
              <w:rPr>
                <w:rFonts w:hint="eastAsia" w:ascii="宋体" w:hAnsi="宋体" w:eastAsia="宋体" w:cs="宋体"/>
                <w:color w:val="000000"/>
                <w:kern w:val="0"/>
                <w:sz w:val="28"/>
                <w:szCs w:val="28"/>
                <w:u w:val="none"/>
                <w:lang w:eastAsia="zh-CN"/>
              </w:rPr>
              <w:t>马鞍山市公安局雨山分局WIFI雷达设备采购</w:t>
            </w:r>
            <w:r>
              <w:rPr>
                <w:rFonts w:hint="eastAsia" w:ascii="宋体" w:hAnsi="宋体" w:eastAsia="宋体" w:cs="宋体"/>
                <w:sz w:val="28"/>
                <w:szCs w:val="28"/>
                <w:u w:val="none"/>
              </w:rPr>
              <w:t xml:space="preserve"> </w:t>
            </w:r>
          </w:p>
        </w:tc>
        <w:tc>
          <w:tcPr>
            <w:tcW w:w="2089" w:type="dxa"/>
            <w:tcBorders>
              <w:top w:val="single" w:color="auto" w:sz="4" w:space="0"/>
              <w:left w:val="nil"/>
              <w:bottom w:val="single" w:color="auto" w:sz="4" w:space="0"/>
              <w:right w:val="single" w:color="auto" w:sz="4" w:space="0"/>
            </w:tcBorders>
            <w:noWrap w:val="0"/>
            <w:vAlign w:val="center"/>
          </w:tcPr>
          <w:p>
            <w:pPr>
              <w:spacing w:line="276"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70000.00</w:t>
            </w:r>
          </w:p>
        </w:tc>
      </w:tr>
    </w:tbl>
    <w:p>
      <w:pPr>
        <w:numPr>
          <w:ilvl w:val="0"/>
          <w:numId w:val="3"/>
        </w:numPr>
        <w:spacing w:line="360" w:lineRule="auto"/>
        <w:jc w:val="center"/>
        <w:rPr>
          <w:rFonts w:hint="eastAsia" w:ascii="宋体" w:hAnsi="宋体"/>
          <w:b/>
          <w:sz w:val="30"/>
          <w:szCs w:val="30"/>
        </w:rPr>
      </w:pPr>
      <w:r>
        <w:rPr>
          <w:rFonts w:hint="eastAsia" w:ascii="宋体" w:hAnsi="宋体"/>
          <w:b/>
          <w:sz w:val="30"/>
          <w:szCs w:val="30"/>
          <w:lang w:val="en-US" w:eastAsia="zh-CN"/>
        </w:rPr>
        <w:t>相关</w:t>
      </w:r>
      <w:r>
        <w:rPr>
          <w:rFonts w:hint="eastAsia" w:ascii="宋体" w:hAnsi="宋体"/>
          <w:b/>
          <w:sz w:val="30"/>
          <w:szCs w:val="30"/>
        </w:rPr>
        <w:t>要求</w:t>
      </w:r>
    </w:p>
    <w:bookmarkEnd w:id="3"/>
    <w:p>
      <w:pPr>
        <w:spacing w:line="360" w:lineRule="auto"/>
        <w:rPr>
          <w:rFonts w:ascii="宋体" w:hAnsi="宋体" w:eastAsia="宋体"/>
          <w:sz w:val="24"/>
          <w:szCs w:val="24"/>
        </w:rPr>
      </w:pPr>
      <w:bookmarkStart w:id="5" w:name="_Toc17516_WPSOffice_Level1"/>
      <w:r>
        <w:rPr>
          <w:rFonts w:hint="eastAsia" w:ascii="宋体" w:hAnsi="宋体" w:eastAsia="宋体"/>
          <w:sz w:val="24"/>
          <w:szCs w:val="24"/>
          <w:lang w:val="en-US" w:eastAsia="zh-CN"/>
        </w:rPr>
        <w:t>1</w:t>
      </w:r>
      <w:r>
        <w:rPr>
          <w:rFonts w:ascii="宋体" w:hAnsi="宋体" w:eastAsia="宋体"/>
          <w:sz w:val="24"/>
          <w:szCs w:val="24"/>
        </w:rPr>
        <w:t>、</w:t>
      </w:r>
      <w:r>
        <w:rPr>
          <w:rFonts w:hint="eastAsia" w:ascii="宋体" w:hAnsi="宋体" w:eastAsia="宋体"/>
          <w:sz w:val="24"/>
          <w:szCs w:val="24"/>
        </w:rPr>
        <w:t>确定目标</w:t>
      </w:r>
      <w:r>
        <w:rPr>
          <w:rFonts w:ascii="宋体" w:hAnsi="宋体" w:eastAsia="宋体"/>
          <w:sz w:val="24"/>
          <w:szCs w:val="24"/>
        </w:rPr>
        <w:t>MAC所在方位</w:t>
      </w:r>
      <w:r>
        <w:rPr>
          <w:rFonts w:hint="eastAsia" w:ascii="宋体" w:hAnsi="宋体" w:eastAsia="宋体"/>
          <w:sz w:val="24"/>
          <w:szCs w:val="24"/>
        </w:rPr>
        <w:t>；</w:t>
      </w:r>
    </w:p>
    <w:p>
      <w:pPr>
        <w:spacing w:line="360" w:lineRule="auto"/>
        <w:rPr>
          <w:rFonts w:ascii="宋体" w:hAnsi="宋体" w:eastAsia="宋体"/>
          <w:sz w:val="24"/>
          <w:szCs w:val="24"/>
        </w:rPr>
      </w:pPr>
      <w:r>
        <w:rPr>
          <w:rFonts w:hint="eastAsia" w:ascii="宋体" w:hAnsi="宋体" w:eastAsia="宋体"/>
          <w:sz w:val="24"/>
          <w:szCs w:val="24"/>
          <w:lang w:val="en-US" w:eastAsia="zh-CN"/>
        </w:rPr>
        <w:t>2</w:t>
      </w:r>
      <w:r>
        <w:rPr>
          <w:rFonts w:ascii="宋体" w:hAnsi="宋体" w:eastAsia="宋体"/>
          <w:sz w:val="24"/>
          <w:szCs w:val="24"/>
        </w:rPr>
        <w:t>、</w:t>
      </w:r>
      <w:r>
        <w:rPr>
          <w:rFonts w:hint="eastAsia" w:ascii="宋体" w:hAnsi="宋体" w:eastAsia="宋体"/>
          <w:sz w:val="24"/>
          <w:szCs w:val="24"/>
        </w:rPr>
        <w:t>扫描同一路由下的所有终端，检测同一路由下的某一个设备，可以使其发出大量信号，可实现无人值守，协同作战；</w:t>
      </w:r>
    </w:p>
    <w:p>
      <w:pPr>
        <w:spacing w:line="360" w:lineRule="auto"/>
        <w:rPr>
          <w:rFonts w:hint="eastAsia" w:ascii="宋体" w:hAnsi="宋体" w:eastAsia="宋体"/>
          <w:sz w:val="24"/>
          <w:szCs w:val="24"/>
        </w:rPr>
      </w:pPr>
      <w:r>
        <w:rPr>
          <w:rFonts w:hint="eastAsia" w:ascii="宋体" w:hAnsi="宋体" w:eastAsia="宋体"/>
          <w:sz w:val="24"/>
          <w:szCs w:val="24"/>
          <w:lang w:val="en-US" w:eastAsia="zh-CN"/>
        </w:rPr>
        <w:t>3</w:t>
      </w:r>
      <w:r>
        <w:rPr>
          <w:rFonts w:ascii="宋体" w:hAnsi="宋体" w:eastAsia="宋体"/>
          <w:sz w:val="24"/>
          <w:szCs w:val="24"/>
        </w:rPr>
        <w:t>、</w:t>
      </w:r>
      <w:r>
        <w:rPr>
          <w:rFonts w:hint="eastAsia" w:ascii="宋体" w:hAnsi="宋体"/>
          <w:sz w:val="24"/>
          <w:szCs w:val="24"/>
        </w:rPr>
        <w:t>★</w:t>
      </w:r>
      <w:r>
        <w:rPr>
          <w:rFonts w:hint="eastAsia" w:ascii="宋体" w:hAnsi="宋体" w:eastAsia="宋体"/>
          <w:sz w:val="24"/>
          <w:szCs w:val="24"/>
        </w:rPr>
        <w:t>可以实时追踪多个目标信号，提示目标距离，支持</w:t>
      </w:r>
      <w:r>
        <w:rPr>
          <w:rFonts w:hint="eastAsia" w:ascii="宋体" w:hAnsi="宋体" w:eastAsia="宋体" w:cs="Calibri"/>
          <w:sz w:val="24"/>
          <w:szCs w:val="24"/>
        </w:rPr>
        <w:t>2</w:t>
      </w:r>
      <w:r>
        <w:rPr>
          <w:rFonts w:ascii="宋体" w:hAnsi="宋体" w:eastAsia="宋体" w:cs="Calibri"/>
          <w:sz w:val="24"/>
          <w:szCs w:val="24"/>
        </w:rPr>
        <w:t>.4</w:t>
      </w:r>
      <w:r>
        <w:rPr>
          <w:rFonts w:hint="eastAsia" w:ascii="宋体" w:hAnsi="宋体" w:eastAsia="宋体"/>
          <w:sz w:val="24"/>
          <w:szCs w:val="24"/>
        </w:rPr>
        <w:t>G和</w:t>
      </w:r>
      <w:r>
        <w:rPr>
          <w:rFonts w:ascii="宋体" w:hAnsi="宋体" w:eastAsia="宋体" w:cs="Calibri"/>
          <w:sz w:val="24"/>
          <w:szCs w:val="24"/>
        </w:rPr>
        <w:t>5G</w:t>
      </w:r>
      <w:r>
        <w:rPr>
          <w:rFonts w:hint="eastAsia" w:ascii="宋体" w:hAnsi="宋体" w:eastAsia="宋体" w:cs="Calibri"/>
          <w:sz w:val="24"/>
          <w:szCs w:val="24"/>
        </w:rPr>
        <w:t>；</w:t>
      </w:r>
    </w:p>
    <w:p>
      <w:pPr>
        <w:spacing w:line="360" w:lineRule="auto"/>
        <w:rPr>
          <w:rFonts w:ascii="宋体" w:hAnsi="宋体" w:eastAsia="宋体"/>
          <w:sz w:val="24"/>
          <w:szCs w:val="24"/>
        </w:rPr>
      </w:pPr>
      <w:r>
        <w:rPr>
          <w:rFonts w:hint="eastAsia" w:ascii="宋体" w:hAnsi="宋体" w:eastAsia="宋体"/>
          <w:sz w:val="24"/>
          <w:szCs w:val="24"/>
          <w:lang w:val="en-US" w:eastAsia="zh-CN"/>
        </w:rPr>
        <w:t>4</w:t>
      </w:r>
      <w:r>
        <w:rPr>
          <w:rFonts w:ascii="宋体" w:hAnsi="宋体" w:eastAsia="宋体"/>
          <w:sz w:val="24"/>
          <w:szCs w:val="24"/>
        </w:rPr>
        <w:t>、</w:t>
      </w:r>
      <w:r>
        <w:rPr>
          <w:rFonts w:hint="eastAsia" w:ascii="宋体" w:hAnsi="宋体" w:eastAsia="宋体"/>
          <w:sz w:val="24"/>
          <w:szCs w:val="24"/>
        </w:rPr>
        <w:t>实时关注目标，获取出现频次最高的</w:t>
      </w:r>
      <w:r>
        <w:rPr>
          <w:rFonts w:ascii="宋体" w:hAnsi="宋体" w:eastAsia="宋体"/>
          <w:sz w:val="24"/>
          <w:szCs w:val="24"/>
        </w:rPr>
        <w:t>MAC</w:t>
      </w:r>
      <w:r>
        <w:rPr>
          <w:rFonts w:hint="eastAsia" w:ascii="宋体" w:hAnsi="宋体" w:eastAsia="宋体"/>
          <w:sz w:val="24"/>
          <w:szCs w:val="24"/>
        </w:rPr>
        <w:t>，通过对比多个地点数据，分析目标可能的</w:t>
      </w:r>
      <w:r>
        <w:rPr>
          <w:rFonts w:ascii="宋体" w:hAnsi="宋体" w:eastAsia="宋体"/>
          <w:sz w:val="24"/>
          <w:szCs w:val="24"/>
        </w:rPr>
        <w:t>MAC</w:t>
      </w:r>
      <w:r>
        <w:rPr>
          <w:rFonts w:hint="eastAsia" w:ascii="宋体" w:hAnsi="宋体" w:eastAsia="宋体"/>
          <w:sz w:val="24"/>
          <w:szCs w:val="24"/>
        </w:rPr>
        <w:t>；</w:t>
      </w:r>
    </w:p>
    <w:p>
      <w:pPr>
        <w:spacing w:line="360" w:lineRule="auto"/>
        <w:rPr>
          <w:rFonts w:ascii="宋体" w:hAnsi="宋体" w:eastAsia="宋体"/>
          <w:sz w:val="24"/>
          <w:szCs w:val="24"/>
        </w:rPr>
      </w:pPr>
      <w:r>
        <w:rPr>
          <w:rFonts w:hint="eastAsia" w:ascii="宋体" w:hAnsi="宋体" w:eastAsia="宋体"/>
          <w:sz w:val="24"/>
          <w:szCs w:val="24"/>
          <w:lang w:val="en-US" w:eastAsia="zh-CN"/>
        </w:rPr>
        <w:t>5</w:t>
      </w:r>
      <w:r>
        <w:rPr>
          <w:rFonts w:ascii="宋体" w:hAnsi="宋体" w:eastAsia="宋体"/>
          <w:sz w:val="24"/>
          <w:szCs w:val="24"/>
        </w:rPr>
        <w:t>、</w:t>
      </w:r>
      <w:r>
        <w:rPr>
          <w:rFonts w:hint="eastAsia" w:ascii="宋体" w:hAnsi="宋体"/>
          <w:sz w:val="24"/>
          <w:szCs w:val="24"/>
        </w:rPr>
        <w:t>★</w:t>
      </w:r>
      <w:r>
        <w:rPr>
          <w:rFonts w:hint="eastAsia" w:ascii="宋体" w:hAnsi="宋体" w:eastAsia="宋体"/>
          <w:sz w:val="24"/>
          <w:szCs w:val="24"/>
        </w:rPr>
        <w:t>查看附近扫描到的所有热点及热点下的终端，查看附近扫描到的所有终端，采集设备附近的</w:t>
      </w:r>
      <w:r>
        <w:rPr>
          <w:rFonts w:ascii="宋体" w:hAnsi="宋体" w:eastAsia="宋体"/>
          <w:sz w:val="24"/>
          <w:szCs w:val="24"/>
        </w:rPr>
        <w:t>WiFi信号，含追踪、优先、全部数据</w:t>
      </w:r>
      <w:r>
        <w:rPr>
          <w:rFonts w:hint="eastAsia" w:ascii="宋体" w:hAnsi="宋体" w:eastAsia="宋体"/>
          <w:sz w:val="24"/>
          <w:szCs w:val="24"/>
        </w:rPr>
        <w:t>；</w:t>
      </w:r>
    </w:p>
    <w:p>
      <w:pPr>
        <w:spacing w:line="360" w:lineRule="auto"/>
        <w:rPr>
          <w:rFonts w:ascii="宋体" w:hAnsi="宋体" w:eastAsia="宋体"/>
          <w:sz w:val="24"/>
          <w:szCs w:val="24"/>
        </w:rPr>
      </w:pPr>
      <w:r>
        <w:rPr>
          <w:rFonts w:hint="eastAsia" w:ascii="宋体" w:hAnsi="宋体" w:eastAsia="宋体"/>
          <w:sz w:val="24"/>
          <w:szCs w:val="24"/>
          <w:lang w:val="en-US" w:eastAsia="zh-CN"/>
        </w:rPr>
        <w:t>6</w:t>
      </w:r>
      <w:r>
        <w:rPr>
          <w:rFonts w:ascii="宋体" w:hAnsi="宋体" w:eastAsia="宋体"/>
          <w:sz w:val="24"/>
          <w:szCs w:val="24"/>
        </w:rPr>
        <w:t>、</w:t>
      </w:r>
      <w:r>
        <w:rPr>
          <w:rFonts w:hint="eastAsia" w:ascii="宋体" w:hAnsi="宋体"/>
          <w:sz w:val="24"/>
          <w:szCs w:val="24"/>
        </w:rPr>
        <w:t>★</w:t>
      </w:r>
      <w:r>
        <w:rPr>
          <w:rFonts w:hint="eastAsia" w:ascii="宋体" w:hAnsi="宋体" w:eastAsia="宋体"/>
          <w:sz w:val="24"/>
          <w:szCs w:val="24"/>
        </w:rPr>
        <w:t>对采集的数据进行分析，含移动、定点</w:t>
      </w:r>
      <w:r>
        <w:rPr>
          <w:rFonts w:ascii="宋体" w:hAnsi="宋体" w:eastAsia="宋体"/>
          <w:sz w:val="24"/>
          <w:szCs w:val="24"/>
        </w:rPr>
        <w:t>MAC碰撞</w:t>
      </w:r>
      <w:r>
        <w:rPr>
          <w:rFonts w:hint="eastAsia" w:ascii="宋体" w:hAnsi="宋体" w:eastAsia="宋体"/>
          <w:sz w:val="24"/>
          <w:szCs w:val="24"/>
        </w:rPr>
        <w:t>；</w:t>
      </w:r>
    </w:p>
    <w:p>
      <w:pPr>
        <w:spacing w:line="360" w:lineRule="auto"/>
        <w:rPr>
          <w:rFonts w:hint="eastAsia" w:ascii="宋体" w:hAnsi="宋体" w:eastAsia="宋体"/>
          <w:sz w:val="24"/>
          <w:szCs w:val="24"/>
        </w:rPr>
      </w:pPr>
      <w:r>
        <w:rPr>
          <w:rFonts w:hint="eastAsia" w:ascii="宋体" w:hAnsi="宋体" w:eastAsia="宋体"/>
          <w:sz w:val="24"/>
          <w:szCs w:val="24"/>
          <w:lang w:val="en-US" w:eastAsia="zh-CN"/>
        </w:rPr>
        <w:t>7</w:t>
      </w:r>
      <w:r>
        <w:rPr>
          <w:rFonts w:ascii="宋体" w:hAnsi="宋体" w:eastAsia="宋体"/>
          <w:sz w:val="24"/>
          <w:szCs w:val="24"/>
        </w:rPr>
        <w:t>、</w:t>
      </w:r>
      <w:r>
        <w:rPr>
          <w:rFonts w:hint="eastAsia" w:ascii="宋体" w:hAnsi="宋体"/>
          <w:sz w:val="24"/>
          <w:szCs w:val="24"/>
        </w:rPr>
        <w:t>★</w:t>
      </w:r>
      <w:r>
        <w:rPr>
          <w:rFonts w:hint="eastAsia" w:ascii="宋体" w:hAnsi="宋体" w:eastAsia="宋体"/>
          <w:sz w:val="24"/>
          <w:szCs w:val="24"/>
        </w:rPr>
        <w:t>输入安卓手机</w:t>
      </w:r>
      <w:r>
        <w:rPr>
          <w:rFonts w:ascii="宋体" w:hAnsi="宋体" w:eastAsia="宋体"/>
          <w:sz w:val="24"/>
          <w:szCs w:val="24"/>
        </w:rPr>
        <w:t>IMEI转换MAC</w:t>
      </w:r>
      <w:r>
        <w:rPr>
          <w:rFonts w:hint="eastAsia" w:ascii="宋体" w:hAnsi="宋体" w:eastAsia="宋体"/>
          <w:sz w:val="24"/>
          <w:szCs w:val="24"/>
        </w:rPr>
        <w:t>，破解路由器密码，断开目标所连</w:t>
      </w:r>
      <w:r>
        <w:rPr>
          <w:rFonts w:ascii="宋体" w:hAnsi="宋体" w:eastAsia="宋体"/>
          <w:sz w:val="24"/>
          <w:szCs w:val="24"/>
        </w:rPr>
        <w:t>WiFi</w:t>
      </w:r>
      <w:r>
        <w:rPr>
          <w:rFonts w:hint="eastAsia" w:ascii="宋体" w:hAnsi="宋体" w:eastAsia="宋体"/>
          <w:sz w:val="24"/>
          <w:szCs w:val="24"/>
        </w:rPr>
        <w:t>。</w:t>
      </w:r>
    </w:p>
    <w:p>
      <w:pPr>
        <w:spacing w:line="540" w:lineRule="exact"/>
        <w:rPr>
          <w:rFonts w:hint="eastAsia" w:ascii="宋体" w:hAnsi="宋体"/>
          <w:b/>
          <w:color w:val="FF0000"/>
          <w:sz w:val="24"/>
          <w:szCs w:val="24"/>
        </w:rPr>
      </w:pPr>
      <w:r>
        <w:rPr>
          <w:rFonts w:hint="eastAsia" w:ascii="宋体" w:hAnsi="宋体"/>
          <w:b/>
          <w:color w:val="FF0000"/>
          <w:sz w:val="24"/>
          <w:szCs w:val="24"/>
        </w:rPr>
        <w:t>备注：1、如果在技术参数或配置中标明了品牌或产地，则仅供参考，并非指定，供应商可以选用替代的方案，但这种替代整体上要优于或相当于</w:t>
      </w:r>
      <w:r>
        <w:rPr>
          <w:rFonts w:hint="eastAsia" w:ascii="宋体" w:hAnsi="宋体"/>
          <w:b/>
          <w:color w:val="FF0000"/>
          <w:sz w:val="24"/>
          <w:szCs w:val="24"/>
          <w:lang w:eastAsia="zh-CN"/>
        </w:rPr>
        <w:t>磋商文件</w:t>
      </w:r>
      <w:r>
        <w:rPr>
          <w:rFonts w:hint="eastAsia" w:ascii="宋体" w:hAnsi="宋体"/>
          <w:b/>
          <w:color w:val="FF0000"/>
          <w:sz w:val="24"/>
          <w:szCs w:val="24"/>
        </w:rPr>
        <w:t xml:space="preserve">的相关要求。 </w:t>
      </w:r>
    </w:p>
    <w:p>
      <w:pPr>
        <w:spacing w:line="540" w:lineRule="exact"/>
        <w:ind w:firstLine="482" w:firstLineChars="200"/>
        <w:rPr>
          <w:rFonts w:hint="eastAsia" w:ascii="宋体" w:hAnsi="宋体"/>
          <w:b/>
          <w:color w:val="FF0000"/>
          <w:sz w:val="24"/>
          <w:szCs w:val="24"/>
        </w:rPr>
      </w:pPr>
      <w:r>
        <w:rPr>
          <w:rFonts w:hint="eastAsia" w:ascii="宋体" w:hAnsi="宋体"/>
          <w:b/>
          <w:color w:val="FF0000"/>
          <w:sz w:val="24"/>
          <w:szCs w:val="24"/>
        </w:rPr>
        <w:t>2、为鼓励不同品牌的充分竞争，如某设备的某技术参数或要求属于个别品牌专有，则该技术参数及要求不具有限制性，供应商可对该参数或要求进行适当调整，并应当说明调整的理由，且该调整须经</w:t>
      </w:r>
      <w:r>
        <w:rPr>
          <w:rFonts w:hint="eastAsia" w:ascii="宋体" w:hAnsi="宋体"/>
          <w:b/>
          <w:color w:val="FF0000"/>
          <w:sz w:val="24"/>
          <w:szCs w:val="24"/>
          <w:lang w:eastAsia="zh-CN"/>
        </w:rPr>
        <w:t>磋商小组</w:t>
      </w:r>
      <w:r>
        <w:rPr>
          <w:rFonts w:hint="eastAsia" w:ascii="宋体" w:hAnsi="宋体"/>
          <w:b/>
          <w:color w:val="FF0000"/>
          <w:sz w:val="24"/>
          <w:szCs w:val="24"/>
        </w:rPr>
        <w:t xml:space="preserve">审核认可。 </w:t>
      </w:r>
    </w:p>
    <w:p>
      <w:pPr>
        <w:spacing w:line="540" w:lineRule="exact"/>
        <w:ind w:firstLine="482" w:firstLineChars="200"/>
        <w:rPr>
          <w:rFonts w:hint="eastAsia" w:ascii="宋体" w:hAnsi="宋体"/>
          <w:b/>
          <w:color w:val="FF0000"/>
          <w:sz w:val="24"/>
          <w:szCs w:val="24"/>
        </w:rPr>
      </w:pPr>
      <w:r>
        <w:rPr>
          <w:rFonts w:hint="eastAsia" w:ascii="宋体" w:hAnsi="宋体"/>
          <w:b/>
          <w:color w:val="FF0000"/>
          <w:sz w:val="24"/>
          <w:szCs w:val="24"/>
        </w:rPr>
        <w:t>3、供应商提供的相关技术证明文件（第三方检测报告、产品使用说明书、厂家官网截图、产品彩页）中关于同一技术参数的表述不一致时，相关技术证明文件的效力由高到低顺序依次为第三方检测报告、产品使用说明书、厂家官网截图、产品彩页。</w:t>
      </w:r>
    </w:p>
    <w:p>
      <w:pPr>
        <w:spacing w:line="540" w:lineRule="exact"/>
        <w:ind w:firstLine="482" w:firstLineChars="200"/>
        <w:rPr>
          <w:rFonts w:hint="eastAsia" w:ascii="宋体" w:hAnsi="宋体"/>
          <w:b/>
          <w:color w:val="FF0000"/>
          <w:sz w:val="24"/>
          <w:szCs w:val="24"/>
        </w:rPr>
      </w:pPr>
      <w:r>
        <w:rPr>
          <w:rFonts w:hint="eastAsia" w:ascii="宋体" w:hAnsi="宋体"/>
          <w:b/>
          <w:color w:val="FF0000"/>
          <w:sz w:val="24"/>
          <w:szCs w:val="24"/>
        </w:rPr>
        <w:t>4、</w:t>
      </w:r>
      <w:r>
        <w:rPr>
          <w:rFonts w:hint="eastAsia" w:ascii="宋体" w:hAnsi="宋体"/>
          <w:b/>
          <w:color w:val="FF0000"/>
          <w:sz w:val="24"/>
          <w:szCs w:val="24"/>
          <w:lang w:eastAsia="zh-CN"/>
        </w:rPr>
        <w:t>磋商文件</w:t>
      </w:r>
      <w:r>
        <w:rPr>
          <w:rFonts w:hint="eastAsia" w:ascii="宋体" w:hAnsi="宋体"/>
          <w:b/>
          <w:color w:val="FF0000"/>
          <w:sz w:val="24"/>
          <w:szCs w:val="24"/>
        </w:rPr>
        <w:t>中用“★”标注的技术参数为不允许负偏离的实质性要求和条件（如果</w:t>
      </w:r>
      <w:r>
        <w:rPr>
          <w:rFonts w:hint="eastAsia" w:ascii="宋体" w:hAnsi="宋体"/>
          <w:b/>
          <w:color w:val="FF0000"/>
          <w:sz w:val="24"/>
          <w:szCs w:val="24"/>
          <w:lang w:eastAsia="zh-CN"/>
        </w:rPr>
        <w:t>磋商文件</w:t>
      </w:r>
      <w:r>
        <w:rPr>
          <w:rFonts w:hint="eastAsia" w:ascii="宋体" w:hAnsi="宋体"/>
          <w:b/>
          <w:color w:val="FF0000"/>
          <w:sz w:val="24"/>
          <w:szCs w:val="24"/>
        </w:rPr>
        <w:t xml:space="preserve">中有标注“★”的技术参数）。 </w:t>
      </w:r>
    </w:p>
    <w:p>
      <w:pPr>
        <w:spacing w:line="540" w:lineRule="exact"/>
        <w:jc w:val="center"/>
        <w:rPr>
          <w:rFonts w:hint="eastAsia" w:ascii="宋体" w:hAnsi="宋体"/>
          <w:b/>
          <w:sz w:val="30"/>
          <w:szCs w:val="30"/>
        </w:rPr>
      </w:pPr>
      <w:r>
        <w:rPr>
          <w:rFonts w:hint="eastAsia" w:ascii="宋体" w:hAnsi="宋体"/>
          <w:b/>
          <w:sz w:val="30"/>
          <w:szCs w:val="30"/>
        </w:rPr>
        <w:t>（</w:t>
      </w:r>
      <w:r>
        <w:rPr>
          <w:rFonts w:hint="eastAsia" w:ascii="宋体" w:hAnsi="宋体"/>
          <w:b/>
          <w:sz w:val="30"/>
          <w:szCs w:val="30"/>
          <w:lang w:eastAsia="zh-CN"/>
        </w:rPr>
        <w:t>三</w:t>
      </w:r>
      <w:r>
        <w:rPr>
          <w:rFonts w:hint="eastAsia" w:ascii="宋体" w:hAnsi="宋体"/>
          <w:b/>
          <w:sz w:val="30"/>
          <w:szCs w:val="30"/>
        </w:rPr>
        <w:t>）商务要求</w:t>
      </w:r>
      <w:bookmarkEnd w:id="5"/>
    </w:p>
    <w:p>
      <w:pPr>
        <w:spacing w:line="540" w:lineRule="exact"/>
        <w:ind w:firstLine="480" w:firstLineChars="200"/>
        <w:rPr>
          <w:rFonts w:hint="eastAsia" w:ascii="宋体" w:hAnsi="宋体" w:cs="宋体"/>
          <w:b/>
          <w:bCs/>
          <w:color w:val="FF0000"/>
          <w:sz w:val="24"/>
          <w:szCs w:val="24"/>
        </w:rPr>
      </w:pPr>
      <w:r>
        <w:rPr>
          <w:rFonts w:hint="eastAsia" w:ascii="宋体" w:hAnsi="宋体"/>
          <w:sz w:val="24"/>
          <w:szCs w:val="24"/>
        </w:rPr>
        <w:t>1、所有货物（包括零部件）须为全新的、未使用过的原装正品。提交货物（含软件及相关服务）的技术参数和配置应与磋商文件的要求及其磋商响应文件的技术响应表（如果被磋商小组接受的话）相一致。若磋商文件及磋商响应文件中无相应说明，则以国家有关部门最新颁布的相应标准及规范为准。</w:t>
      </w:r>
    </w:p>
    <w:p>
      <w:pPr>
        <w:spacing w:line="540" w:lineRule="exact"/>
        <w:ind w:firstLine="480" w:firstLineChars="200"/>
        <w:rPr>
          <w:rFonts w:hint="eastAsia" w:ascii="宋体" w:hAnsi="宋体"/>
          <w:color w:val="000000"/>
          <w:sz w:val="24"/>
          <w:szCs w:val="24"/>
        </w:rPr>
      </w:pPr>
      <w:r>
        <w:rPr>
          <w:rFonts w:hint="eastAsia" w:ascii="宋体" w:hAnsi="宋体"/>
          <w:sz w:val="24"/>
          <w:szCs w:val="24"/>
        </w:rPr>
        <w:t>2、所有货物必须符合国家相关强制性要求。</w:t>
      </w:r>
    </w:p>
    <w:p>
      <w:pPr>
        <w:spacing w:line="540" w:lineRule="exact"/>
        <w:ind w:firstLine="480" w:firstLineChars="200"/>
        <w:rPr>
          <w:rFonts w:hint="eastAsia" w:ascii="宋体" w:hAnsi="宋体"/>
          <w:sz w:val="24"/>
          <w:szCs w:val="24"/>
        </w:rPr>
      </w:pPr>
      <w:r>
        <w:rPr>
          <w:rFonts w:hint="eastAsia" w:ascii="宋体" w:hAnsi="宋体"/>
          <w:sz w:val="24"/>
          <w:szCs w:val="24"/>
        </w:rPr>
        <w:t>3、技术支持</w:t>
      </w:r>
    </w:p>
    <w:p>
      <w:pPr>
        <w:spacing w:line="540" w:lineRule="exact"/>
        <w:ind w:firstLine="480" w:firstLineChars="200"/>
        <w:rPr>
          <w:rFonts w:hint="eastAsia" w:ascii="宋体" w:hAnsi="宋体"/>
          <w:color w:val="000000"/>
          <w:sz w:val="24"/>
          <w:szCs w:val="24"/>
        </w:rPr>
      </w:pPr>
      <w:r>
        <w:rPr>
          <w:rFonts w:hint="eastAsia" w:ascii="宋体" w:hAnsi="宋体"/>
          <w:sz w:val="24"/>
          <w:szCs w:val="24"/>
        </w:rPr>
        <w:t>3.1成交供应商应向项目单位提供全方位及时而有效的技术支持和服务，</w:t>
      </w:r>
      <w:r>
        <w:rPr>
          <w:rFonts w:hint="eastAsia" w:ascii="宋体" w:hAnsi="宋体"/>
          <w:color w:val="000000"/>
          <w:sz w:val="24"/>
          <w:szCs w:val="24"/>
        </w:rPr>
        <w:t>负责建设完毕。</w:t>
      </w:r>
    </w:p>
    <w:p>
      <w:pPr>
        <w:spacing w:line="540" w:lineRule="exact"/>
        <w:ind w:firstLine="480" w:firstLineChars="200"/>
        <w:rPr>
          <w:rFonts w:hint="eastAsia" w:ascii="宋体" w:hAnsi="宋体"/>
          <w:sz w:val="24"/>
          <w:szCs w:val="24"/>
        </w:rPr>
      </w:pPr>
      <w:r>
        <w:rPr>
          <w:rFonts w:hint="eastAsia" w:ascii="宋体" w:hAnsi="宋体"/>
          <w:sz w:val="24"/>
          <w:szCs w:val="24"/>
        </w:rPr>
        <w:t>3.2成交供应商负责将货物的有关技术文件（外文应提供中文翻译资料，下同）、验收报告等汇集成册交付项目单位，涉及进口的部件配件等须提供中国海关进口货物报关单、完税证明及商检证明等材料。</w:t>
      </w:r>
    </w:p>
    <w:p>
      <w:pPr>
        <w:spacing w:line="540" w:lineRule="exact"/>
        <w:ind w:firstLine="480" w:firstLineChars="200"/>
        <w:rPr>
          <w:rFonts w:hint="eastAsia" w:ascii="宋体" w:hAnsi="宋体"/>
          <w:sz w:val="24"/>
          <w:szCs w:val="24"/>
        </w:rPr>
      </w:pPr>
      <w:r>
        <w:rPr>
          <w:rFonts w:hint="eastAsia" w:ascii="宋体" w:hAnsi="宋体"/>
          <w:sz w:val="24"/>
          <w:szCs w:val="24"/>
        </w:rPr>
        <w:t>4、质保及售后服务：</w:t>
      </w:r>
    </w:p>
    <w:p>
      <w:pPr>
        <w:spacing w:line="540" w:lineRule="exact"/>
        <w:ind w:firstLine="482" w:firstLineChars="200"/>
        <w:rPr>
          <w:rFonts w:hint="eastAsia" w:ascii="宋体" w:hAnsi="宋体"/>
          <w:sz w:val="24"/>
          <w:szCs w:val="24"/>
        </w:rPr>
      </w:pPr>
      <w:r>
        <w:rPr>
          <w:rFonts w:hint="eastAsia" w:ascii="宋体" w:hAnsi="宋体"/>
          <w:b/>
          <w:sz w:val="24"/>
          <w:szCs w:val="24"/>
        </w:rPr>
        <w:t>4.1供应商对所报货物服务至少提供</w:t>
      </w:r>
      <w:r>
        <w:rPr>
          <w:rFonts w:hint="eastAsia" w:ascii="宋体" w:hAnsi="宋体"/>
          <w:b/>
          <w:color w:val="FF0000"/>
          <w:sz w:val="24"/>
          <w:szCs w:val="24"/>
          <w:u w:val="single"/>
          <w:lang w:val="en-US" w:eastAsia="zh-CN"/>
        </w:rPr>
        <w:t>1</w:t>
      </w:r>
      <w:r>
        <w:rPr>
          <w:rFonts w:hint="eastAsia" w:ascii="宋体" w:hAnsi="宋体"/>
          <w:b/>
          <w:sz w:val="24"/>
          <w:szCs w:val="24"/>
        </w:rPr>
        <w:t>年的免费质保服务，均自验收合格之日起计算。</w:t>
      </w:r>
      <w:r>
        <w:rPr>
          <w:rFonts w:hint="eastAsia" w:ascii="宋体" w:hAnsi="宋体"/>
          <w:sz w:val="24"/>
          <w:szCs w:val="24"/>
        </w:rPr>
        <w:t>所有质保费用均已包含在总报价中。质保期满后，应提供优先的有偿售后服务及按不高于磋商响应文件中零配件、易损件及备品备件清单所报价格供应原厂零配件等。免费质保期内软件免费升级，终身免费使用。</w:t>
      </w:r>
    </w:p>
    <w:p>
      <w:pPr>
        <w:spacing w:line="540" w:lineRule="exact"/>
        <w:ind w:firstLine="480" w:firstLineChars="200"/>
        <w:rPr>
          <w:rFonts w:hint="eastAsia" w:ascii="宋体" w:hAnsi="宋体"/>
          <w:sz w:val="24"/>
          <w:szCs w:val="24"/>
        </w:rPr>
      </w:pPr>
      <w:r>
        <w:rPr>
          <w:rFonts w:hint="eastAsia" w:ascii="宋体" w:hAnsi="宋体"/>
          <w:sz w:val="24"/>
          <w:szCs w:val="24"/>
        </w:rPr>
        <w:t>4.2成交供应商须设有7×24小时售后服务电话，负责解答用户在货物使用中遇到的问题，及时提出解决问题的建议和操作方法。</w:t>
      </w:r>
    </w:p>
    <w:p>
      <w:pPr>
        <w:spacing w:line="540" w:lineRule="exact"/>
        <w:ind w:firstLine="480" w:firstLineChars="200"/>
        <w:rPr>
          <w:rFonts w:hint="eastAsia" w:ascii="宋体" w:hAnsi="宋体"/>
          <w:sz w:val="24"/>
          <w:szCs w:val="24"/>
        </w:rPr>
      </w:pPr>
      <w:r>
        <w:rPr>
          <w:rFonts w:hint="eastAsia" w:ascii="宋体" w:hAnsi="宋体"/>
          <w:sz w:val="24"/>
          <w:szCs w:val="24"/>
        </w:rPr>
        <w:t>4.3售后服务响应时间：成交供应商需设有专门的售后服务队伍，建立完备的故障响应机制。如货物出现质量问题，电话响应无法解决，成交供应商必须在接报修电话6小时内到达现场,12小时内解决问题。如不能解决的，成交供应商需免费提供替代货物供项目单位使用。免费质保期内如货物出现质量问题，成交供应商负责免费修复，对于无法修复的情况，成交供应商负责免费更换。</w:t>
      </w:r>
    </w:p>
    <w:p>
      <w:pPr>
        <w:spacing w:line="540" w:lineRule="exact"/>
        <w:ind w:firstLine="480" w:firstLineChars="200"/>
        <w:rPr>
          <w:rFonts w:hint="eastAsia" w:ascii="宋体" w:hAnsi="宋体"/>
          <w:sz w:val="24"/>
          <w:szCs w:val="24"/>
        </w:rPr>
      </w:pPr>
      <w:r>
        <w:rPr>
          <w:rFonts w:hint="eastAsia" w:ascii="宋体" w:hAnsi="宋体"/>
          <w:sz w:val="24"/>
          <w:szCs w:val="24"/>
        </w:rPr>
        <w:t>5、培训：成交供应商应对项目单位提供现场培训，现场培训能够根据项目单位需要，合理安排，以满足系统正常使用、运行、维护和技术支持的需要，培训费用包含在本次总报价中。</w:t>
      </w:r>
    </w:p>
    <w:p>
      <w:pPr>
        <w:spacing w:line="540" w:lineRule="exact"/>
        <w:ind w:firstLine="482" w:firstLineChars="200"/>
        <w:rPr>
          <w:rFonts w:ascii="宋体" w:hAnsi="宋体"/>
          <w:b/>
          <w:color w:val="0000FF"/>
          <w:sz w:val="24"/>
          <w:szCs w:val="24"/>
        </w:rPr>
      </w:pPr>
      <w:r>
        <w:rPr>
          <w:rFonts w:hint="eastAsia" w:ascii="宋体" w:hAnsi="宋体"/>
          <w:b/>
          <w:color w:val="0000FF"/>
          <w:sz w:val="24"/>
          <w:szCs w:val="24"/>
        </w:rPr>
        <w:t>6、交货期：自合同签订之日起</w:t>
      </w:r>
      <w:r>
        <w:rPr>
          <w:rFonts w:hint="eastAsia" w:ascii="宋体" w:hAnsi="宋体"/>
          <w:b/>
          <w:color w:val="0000FF"/>
          <w:sz w:val="24"/>
          <w:szCs w:val="24"/>
          <w:u w:val="single"/>
          <w:lang w:val="en-US" w:eastAsia="zh-CN"/>
        </w:rPr>
        <w:t>20</w:t>
      </w:r>
      <w:r>
        <w:rPr>
          <w:rFonts w:hint="eastAsia" w:ascii="宋体" w:hAnsi="宋体"/>
          <w:b/>
          <w:color w:val="0000FF"/>
          <w:sz w:val="24"/>
          <w:szCs w:val="24"/>
          <w:u w:val="single"/>
        </w:rPr>
        <w:t>日</w:t>
      </w:r>
      <w:r>
        <w:rPr>
          <w:rFonts w:hint="eastAsia" w:ascii="宋体" w:hAnsi="宋体"/>
          <w:b/>
          <w:color w:val="0000FF"/>
          <w:sz w:val="24"/>
          <w:szCs w:val="24"/>
        </w:rPr>
        <w:t>内供货并安装调试完毕。</w:t>
      </w:r>
    </w:p>
    <w:p>
      <w:pPr>
        <w:spacing w:line="540" w:lineRule="exact"/>
        <w:ind w:firstLine="480" w:firstLineChars="200"/>
        <w:rPr>
          <w:rFonts w:hint="eastAsia" w:ascii="宋体" w:hAnsi="宋体"/>
          <w:sz w:val="24"/>
          <w:szCs w:val="24"/>
        </w:rPr>
      </w:pPr>
      <w:r>
        <w:rPr>
          <w:rFonts w:hint="eastAsia" w:ascii="宋体" w:hAnsi="宋体"/>
          <w:sz w:val="24"/>
          <w:szCs w:val="24"/>
        </w:rPr>
        <w:t>7、交货及服务地点：</w:t>
      </w:r>
      <w:r>
        <w:rPr>
          <w:rFonts w:hint="eastAsia" w:ascii="宋体" w:hAnsi="宋体"/>
          <w:sz w:val="24"/>
          <w:szCs w:val="24"/>
          <w:lang w:eastAsia="zh-CN"/>
        </w:rPr>
        <w:t>马鞍山市公安局雨山分局</w:t>
      </w:r>
      <w:r>
        <w:rPr>
          <w:rFonts w:hint="eastAsia" w:ascii="宋体" w:hAnsi="宋体"/>
          <w:sz w:val="24"/>
          <w:szCs w:val="24"/>
        </w:rPr>
        <w:t>。</w:t>
      </w:r>
    </w:p>
    <w:p>
      <w:pPr>
        <w:spacing w:line="540" w:lineRule="exact"/>
        <w:ind w:firstLine="480" w:firstLineChars="200"/>
        <w:rPr>
          <w:rFonts w:ascii="宋体" w:hAnsi="宋体"/>
          <w:sz w:val="24"/>
          <w:szCs w:val="24"/>
        </w:rPr>
      </w:pPr>
      <w:r>
        <w:rPr>
          <w:rFonts w:hint="eastAsia" w:ascii="宋体" w:hAnsi="宋体"/>
          <w:sz w:val="24"/>
          <w:szCs w:val="24"/>
        </w:rPr>
        <w:t>8、验收：</w:t>
      </w:r>
    </w:p>
    <w:p>
      <w:pPr>
        <w:spacing w:line="540" w:lineRule="exact"/>
        <w:ind w:firstLine="480" w:firstLineChars="200"/>
        <w:rPr>
          <w:rFonts w:ascii="宋体" w:hAnsi="宋体"/>
          <w:sz w:val="24"/>
          <w:szCs w:val="24"/>
        </w:rPr>
      </w:pPr>
      <w:r>
        <w:rPr>
          <w:rFonts w:hint="eastAsia" w:ascii="宋体" w:hAnsi="宋体"/>
          <w:sz w:val="24"/>
          <w:szCs w:val="24"/>
        </w:rPr>
        <w:t>8.1项目单位和相关部门按照磋商文件和磋商响应文件承诺进行验收。磋商文件没有规定和磋商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项目单位须约请相关部门和专家参加项目验收。所有需要质检部门进行检测才能使用的设备，总报价中必须包含首次检测费用。</w:t>
      </w:r>
    </w:p>
    <w:p>
      <w:pPr>
        <w:spacing w:line="540" w:lineRule="exact"/>
        <w:ind w:firstLine="480" w:firstLineChars="200"/>
        <w:rPr>
          <w:rFonts w:hint="eastAsia" w:ascii="宋体" w:hAnsi="宋体"/>
          <w:sz w:val="24"/>
          <w:szCs w:val="24"/>
        </w:rPr>
      </w:pPr>
      <w:r>
        <w:rPr>
          <w:rFonts w:hint="eastAsia" w:ascii="宋体" w:hAnsi="宋体"/>
          <w:sz w:val="24"/>
          <w:szCs w:val="24"/>
        </w:rPr>
        <w:t>8.2货物在验收时，</w:t>
      </w:r>
      <w:r>
        <w:rPr>
          <w:rFonts w:hint="eastAsia" w:ascii="宋体" w:hAnsi="宋体"/>
          <w:sz w:val="24"/>
          <w:szCs w:val="24"/>
          <w:lang w:eastAsia="zh-CN"/>
        </w:rPr>
        <w:t>成交供应商</w:t>
      </w:r>
      <w:r>
        <w:rPr>
          <w:rFonts w:hint="eastAsia" w:ascii="宋体" w:hAnsi="宋体"/>
          <w:sz w:val="24"/>
          <w:szCs w:val="24"/>
        </w:rPr>
        <w:t>应提供发票、制造厂家出具的产品合格证书、装箱清单等, 涉及进口的设备、部件、配件等须提供中国海关进口货物报关单、完税证明及商检证明等材料；提供有关货物的保养修理所需的各种随机工具及全部有关技术文件（外文应提供中文翻译资料，下同）、操作使用说明书、质保书、保修证明、维护手册及相关设计、制造、检验、安装、技术性指导资料以及根据中国相关法律规定制造、销售报价货物（包括主要部件和材料）所必备的各种证书 (如 CCC 强制性认证证书、产品质量检验报告、国家相关检测机构出具的检验报告等）等文件汇集成册交付招标人和应由</w:t>
      </w:r>
      <w:r>
        <w:rPr>
          <w:rFonts w:hint="eastAsia" w:ascii="宋体" w:hAnsi="宋体"/>
          <w:sz w:val="24"/>
          <w:szCs w:val="24"/>
          <w:lang w:eastAsia="zh-CN"/>
        </w:rPr>
        <w:t>成交供应商</w:t>
      </w:r>
      <w:r>
        <w:rPr>
          <w:rFonts w:hint="eastAsia" w:ascii="宋体" w:hAnsi="宋体"/>
          <w:sz w:val="24"/>
          <w:szCs w:val="24"/>
        </w:rPr>
        <w:t>提供的必要文件。</w:t>
      </w:r>
    </w:p>
    <w:p>
      <w:pPr>
        <w:spacing w:line="540" w:lineRule="exact"/>
        <w:ind w:firstLine="480" w:firstLineChars="200"/>
        <w:rPr>
          <w:rFonts w:ascii="宋体" w:hAnsi="宋体"/>
          <w:sz w:val="24"/>
          <w:szCs w:val="24"/>
        </w:rPr>
      </w:pPr>
      <w:r>
        <w:rPr>
          <w:rFonts w:hint="eastAsia" w:ascii="宋体" w:hAnsi="宋体"/>
          <w:sz w:val="24"/>
          <w:szCs w:val="24"/>
        </w:rPr>
        <w:t>8.3成交供应商应根据项目单位使用单位的技术要求提供相应的软硬件产品。由成交供应商所提供的设备部件间的连线和插接件均应视为设备内部器件，包含在相应的设备之中。</w:t>
      </w:r>
    </w:p>
    <w:p>
      <w:pPr>
        <w:spacing w:line="540" w:lineRule="exact"/>
        <w:ind w:left="1" w:firstLine="477" w:firstLineChars="199"/>
        <w:rPr>
          <w:rFonts w:ascii="宋体" w:hAnsi="宋体"/>
          <w:sz w:val="24"/>
          <w:szCs w:val="24"/>
        </w:rPr>
      </w:pPr>
      <w:r>
        <w:rPr>
          <w:rFonts w:hint="eastAsia" w:ascii="宋体" w:hAnsi="宋体"/>
          <w:sz w:val="24"/>
          <w:szCs w:val="24"/>
        </w:rPr>
        <w:t>8.4所有货物安装时若需使用特殊的接头、插座、电缆、特殊安装工具等备件由成交供应商提供。</w:t>
      </w:r>
    </w:p>
    <w:p>
      <w:pPr>
        <w:spacing w:line="540" w:lineRule="exact"/>
        <w:ind w:firstLine="480" w:firstLineChars="200"/>
        <w:rPr>
          <w:rFonts w:ascii="宋体" w:hAnsi="宋体"/>
          <w:sz w:val="24"/>
          <w:szCs w:val="24"/>
        </w:rPr>
      </w:pPr>
      <w:r>
        <w:rPr>
          <w:rFonts w:hint="eastAsia" w:ascii="宋体" w:hAnsi="宋体"/>
          <w:sz w:val="24"/>
          <w:szCs w:val="24"/>
        </w:rPr>
        <w:t>8.5项目单位对货物进行全面的验收，对验收中暴露出来的问题，成交供应商应及时进行整改，最终验收合格后，项目单位向成交供应商签发最终验收证明。</w:t>
      </w:r>
    </w:p>
    <w:p>
      <w:pPr>
        <w:spacing w:line="540" w:lineRule="exact"/>
        <w:ind w:left="1" w:firstLine="477" w:firstLineChars="199"/>
        <w:rPr>
          <w:rFonts w:hint="eastAsia" w:ascii="宋体" w:hAnsi="宋体"/>
          <w:sz w:val="24"/>
          <w:szCs w:val="24"/>
        </w:rPr>
      </w:pPr>
      <w:r>
        <w:rPr>
          <w:rFonts w:hint="eastAsia" w:ascii="宋体" w:hAnsi="宋体"/>
          <w:sz w:val="24"/>
          <w:szCs w:val="24"/>
        </w:rPr>
        <w:t>9、付款方式：安装调试完毕、验收合格之日起30个工作日内支付合同总价的95%；从验收合格之日起满12个月无质量及售后服务问题，30个工作日内支付合同总价的5%。</w:t>
      </w:r>
    </w:p>
    <w:p>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50DB35"/>
    <w:multiLevelType w:val="singleLevel"/>
    <w:tmpl w:val="C350DB35"/>
    <w:lvl w:ilvl="0" w:tentative="0">
      <w:start w:val="1"/>
      <w:numFmt w:val="chineseCounting"/>
      <w:suff w:val="nothing"/>
      <w:lvlText w:val="（%1）"/>
      <w:lvlJc w:val="left"/>
      <w:rPr>
        <w:rFonts w:hint="eastAsia"/>
      </w:rPr>
    </w:lvl>
  </w:abstractNum>
  <w:abstractNum w:abstractNumId="1">
    <w:nsid w:val="40AB1CBA"/>
    <w:multiLevelType w:val="singleLevel"/>
    <w:tmpl w:val="40AB1CBA"/>
    <w:lvl w:ilvl="0" w:tentative="0">
      <w:start w:val="2"/>
      <w:numFmt w:val="upperLetter"/>
      <w:pStyle w:val="3"/>
      <w:lvlText w:val="%1."/>
      <w:lvlJc w:val="left"/>
      <w:pPr>
        <w:tabs>
          <w:tab w:val="left" w:pos="1830"/>
        </w:tabs>
        <w:ind w:left="1830" w:hanging="360"/>
      </w:pPr>
      <w:rPr>
        <w:rFonts w:hint="eastAsia"/>
      </w:rPr>
    </w:lvl>
  </w:abstractNum>
  <w:abstractNum w:abstractNumId="2">
    <w:nsid w:val="7C9F0157"/>
    <w:multiLevelType w:val="singleLevel"/>
    <w:tmpl w:val="7C9F0157"/>
    <w:lvl w:ilvl="0" w:tentative="0">
      <w:start w:val="5"/>
      <w:numFmt w:val="chineseCounting"/>
      <w:suff w:val="space"/>
      <w:lvlText w:val="第%1章"/>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FC6F3E"/>
    <w:rsid w:val="46FC6F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mbria" w:hAnsi="Cambria"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mbria" w:hAnsi="Cambria" w:eastAsia="宋体" w:cs="Times New Roman"/>
      <w:kern w:val="2"/>
      <w:sz w:val="21"/>
      <w:lang w:val="en-US" w:eastAsia="zh-CN" w:bidi="ar-SA"/>
    </w:rPr>
  </w:style>
  <w:style w:type="paragraph" w:styleId="3">
    <w:name w:val="heading 1"/>
    <w:basedOn w:val="1"/>
    <w:next w:val="1"/>
    <w:qFormat/>
    <w:uiPriority w:val="0"/>
    <w:pPr>
      <w:keepNext/>
      <w:numPr>
        <w:ilvl w:val="0"/>
        <w:numId w:val="1"/>
      </w:numPr>
      <w:outlineLvl w:val="0"/>
    </w:pPr>
    <w:rPr>
      <w:rFonts w:ascii="Arial" w:hAnsi="Arial" w:eastAsia="仿宋_GB2312"/>
      <w:sz w:val="28"/>
      <w:lang w:bidi="he-IL"/>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left"/>
    </w:pPr>
    <w:rPr>
      <w:rFonts w:ascii="Arial" w:hAnsi="Arial" w:eastAsia="黑体"/>
      <w:b/>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2020-06-09T02:15:00Z</dcterms:created>
  <dc:creator>默修</dc:creator>
  <cp:lastModifiedBy>默修</cp:lastModifiedBy>
  <dcterms:modified xsi:type="dcterms:W3CDTF">2020-06-09T02:15:56Z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